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9A84788"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36684E">
        <w:rPr>
          <w:sz w:val="32"/>
          <w:szCs w:val="32"/>
        </w:rPr>
        <w:t>19638</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2D1DC2A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6382A">
        <w:rPr>
          <w:sz w:val="22"/>
          <w:lang w:val="sv-FI"/>
        </w:rPr>
        <w:t>8.13.2.</w:t>
      </w:r>
      <w:r w:rsidR="00054F5E">
        <w:rPr>
          <w:sz w:val="22"/>
          <w:lang w:val="sv-FI"/>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85E7C96" w:rsidR="00E90E49" w:rsidRPr="00CE0424" w:rsidRDefault="003D3C45" w:rsidP="00311702">
      <w:pPr>
        <w:pStyle w:val="3GPPHeader"/>
        <w:rPr>
          <w:sz w:val="22"/>
        </w:rPr>
      </w:pPr>
      <w:r>
        <w:rPr>
          <w:sz w:val="22"/>
        </w:rPr>
        <w:t>Title:</w:t>
      </w:r>
      <w:r w:rsidR="00E90E49" w:rsidRPr="00CE0424">
        <w:rPr>
          <w:sz w:val="22"/>
        </w:rPr>
        <w:tab/>
      </w:r>
      <w:r w:rsidR="0096382A">
        <w:rPr>
          <w:sz w:val="22"/>
        </w:rPr>
        <w:t>ATG UE RX requirements</w:t>
      </w:r>
    </w:p>
    <w:p w14:paraId="025260C1" w14:textId="393B690F" w:rsidR="00E90E49" w:rsidRPr="00CE0424" w:rsidRDefault="00E90E49" w:rsidP="00D546FF">
      <w:pPr>
        <w:pStyle w:val="3GPPHeader"/>
        <w:rPr>
          <w:sz w:val="22"/>
        </w:rPr>
      </w:pPr>
      <w:r w:rsidRPr="00CE0424">
        <w:rPr>
          <w:sz w:val="22"/>
        </w:rPr>
        <w:t>Document for:</w:t>
      </w:r>
      <w:r w:rsidRPr="00CE0424">
        <w:rPr>
          <w:sz w:val="22"/>
        </w:rPr>
        <w:tab/>
      </w:r>
      <w:r w:rsidR="0096382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BDDC28" w:rsidR="00477768" w:rsidRPr="00CE0424" w:rsidRDefault="00974148" w:rsidP="00CE0424">
      <w:pPr>
        <w:pStyle w:val="BodyText"/>
      </w:pPr>
      <w:r>
        <w:t xml:space="preserve">During RAN4#104bis-e, a WF was agreed on UE </w:t>
      </w:r>
      <w:r w:rsidR="00CA055D">
        <w:t>requirements for ATG. Several issues were left open. This document presents some further views on the open issues</w:t>
      </w:r>
      <w:r w:rsidR="00A47324">
        <w:t xml:space="preserve"> for receiver aspects</w:t>
      </w:r>
      <w:r w:rsidR="00CA055D">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79B067FF" w:rsidR="00F63950" w:rsidRDefault="00230D18" w:rsidP="00F63950">
      <w:pPr>
        <w:pStyle w:val="Heading2"/>
      </w:pPr>
      <w:r>
        <w:t>2.1</w:t>
      </w:r>
      <w:r>
        <w:tab/>
      </w:r>
      <w:r w:rsidR="00CA055D">
        <w:t>General considerations</w:t>
      </w:r>
    </w:p>
    <w:p w14:paraId="7F92A7E8" w14:textId="7BA704A3" w:rsidR="00CA055D" w:rsidRDefault="00CA055D" w:rsidP="00CA055D">
      <w:pPr>
        <w:rPr>
          <w:lang w:val="en-GB" w:eastAsia="ja-JP"/>
        </w:rPr>
      </w:pPr>
      <w:r>
        <w:rPr>
          <w:lang w:val="en-GB" w:eastAsia="ja-JP"/>
        </w:rPr>
        <w:t>In the ATG scenario, the UE is mounted on the fuselage of a commercial aircraft</w:t>
      </w:r>
      <w:r w:rsidR="003F4062">
        <w:rPr>
          <w:lang w:val="en-GB" w:eastAsia="ja-JP"/>
        </w:rPr>
        <w:t xml:space="preserve">. Depending on the aircraft, the ATG UE may </w:t>
      </w:r>
      <w:proofErr w:type="gramStart"/>
      <w:r w:rsidR="003F4062">
        <w:rPr>
          <w:lang w:val="en-GB" w:eastAsia="ja-JP"/>
        </w:rPr>
        <w:t>be located in</w:t>
      </w:r>
      <w:proofErr w:type="gramEnd"/>
      <w:r w:rsidR="003F4062">
        <w:rPr>
          <w:lang w:val="en-GB" w:eastAsia="ja-JP"/>
        </w:rPr>
        <w:t xml:space="preserve"> relative proximity to other radio equipment or equipment that is sensitive to interference, some of which may be flight critical, and appropriate regulations will need to be followed. This may have an impact on the allowable UE output power</w:t>
      </w:r>
      <w:r w:rsidR="0010559E">
        <w:rPr>
          <w:lang w:val="en-GB" w:eastAsia="ja-JP"/>
        </w:rPr>
        <w:t>, as well as some emissions requirements.</w:t>
      </w:r>
    </w:p>
    <w:p w14:paraId="5169CB8A" w14:textId="5A1DFB01" w:rsidR="0010559E" w:rsidRDefault="0010559E" w:rsidP="00CA055D">
      <w:pPr>
        <w:rPr>
          <w:lang w:val="en-GB" w:eastAsia="ja-JP"/>
        </w:rPr>
      </w:pPr>
      <w:r>
        <w:rPr>
          <w:lang w:val="en-GB" w:eastAsia="ja-JP"/>
        </w:rPr>
        <w:t xml:space="preserve">To be mounted on the fuselage, the UE electronic and radio components </w:t>
      </w:r>
      <w:r w:rsidR="0090748C">
        <w:rPr>
          <w:lang w:val="en-GB" w:eastAsia="ja-JP"/>
        </w:rPr>
        <w:t xml:space="preserve">will need to meet avionics specifications and will need to be capable to withstand </w:t>
      </w:r>
      <w:r w:rsidR="00F17293">
        <w:rPr>
          <w:lang w:val="en-GB" w:eastAsia="ja-JP"/>
        </w:rPr>
        <w:t xml:space="preserve">high altitude environmental conditions. It is also possible that the </w:t>
      </w:r>
      <w:proofErr w:type="spellStart"/>
      <w:r w:rsidR="00F17293">
        <w:rPr>
          <w:lang w:val="en-GB" w:eastAsia="ja-JP"/>
        </w:rPr>
        <w:t>radome</w:t>
      </w:r>
      <w:proofErr w:type="spellEnd"/>
      <w:r w:rsidR="00F17293">
        <w:rPr>
          <w:lang w:val="en-GB" w:eastAsia="ja-JP"/>
        </w:rPr>
        <w:t xml:space="preserve"> can have quite different properties to those usually used for </w:t>
      </w:r>
      <w:r w:rsidR="00472129">
        <w:rPr>
          <w:lang w:val="en-GB" w:eastAsia="ja-JP"/>
        </w:rPr>
        <w:t>ground-based</w:t>
      </w:r>
      <w:r w:rsidR="0016467B">
        <w:rPr>
          <w:lang w:val="en-GB" w:eastAsia="ja-JP"/>
        </w:rPr>
        <w:t xml:space="preserve"> CPE and BS.</w:t>
      </w:r>
    </w:p>
    <w:p w14:paraId="68F27D03" w14:textId="490A9DC8" w:rsidR="0070774A" w:rsidRDefault="0016467B" w:rsidP="00CA055D">
      <w:pPr>
        <w:rPr>
          <w:lang w:val="en-GB" w:eastAsia="ja-JP"/>
        </w:rPr>
      </w:pPr>
      <w:r>
        <w:rPr>
          <w:lang w:val="en-GB" w:eastAsia="ja-JP"/>
        </w:rPr>
        <w:t xml:space="preserve">Bearing these constraints in mind, it may not be the case that an aircraft mounted UE can be assumed to meet </w:t>
      </w:r>
      <w:proofErr w:type="gramStart"/>
      <w:r>
        <w:rPr>
          <w:lang w:val="en-GB" w:eastAsia="ja-JP"/>
        </w:rPr>
        <w:t>all of</w:t>
      </w:r>
      <w:proofErr w:type="gramEnd"/>
      <w:r>
        <w:rPr>
          <w:lang w:val="en-GB" w:eastAsia="ja-JP"/>
        </w:rPr>
        <w:t xml:space="preserve"> the requirements of terrestrial handheld UEs and CPEs</w:t>
      </w:r>
      <w:r w:rsidR="004A2934">
        <w:rPr>
          <w:lang w:val="en-GB" w:eastAsia="ja-JP"/>
        </w:rPr>
        <w:t xml:space="preserve">. RAN4 should take care that UE requirements are sufficient for network operation based on the </w:t>
      </w:r>
      <w:r w:rsidR="00472129">
        <w:rPr>
          <w:lang w:val="en-GB" w:eastAsia="ja-JP"/>
        </w:rPr>
        <w:t>group’s</w:t>
      </w:r>
      <w:r w:rsidR="004A2934">
        <w:rPr>
          <w:lang w:val="en-GB" w:eastAsia="ja-JP"/>
        </w:rPr>
        <w:t xml:space="preserve"> expertise </w:t>
      </w:r>
      <w:r w:rsidR="0070774A">
        <w:rPr>
          <w:lang w:val="en-GB" w:eastAsia="ja-JP"/>
        </w:rPr>
        <w:t xml:space="preserve">in mobile </w:t>
      </w:r>
      <w:proofErr w:type="gramStart"/>
      <w:r w:rsidR="0070774A">
        <w:rPr>
          <w:lang w:val="en-GB" w:eastAsia="ja-JP"/>
        </w:rPr>
        <w:t>communications, but</w:t>
      </w:r>
      <w:proofErr w:type="gramEnd"/>
      <w:r w:rsidR="0070774A">
        <w:rPr>
          <w:lang w:val="en-GB" w:eastAsia="ja-JP"/>
        </w:rPr>
        <w:t xml:space="preserve"> take care not to constrain the ability to design UEs that will ultimately be avionics equipment.</w:t>
      </w:r>
    </w:p>
    <w:p w14:paraId="4A04EF1B" w14:textId="066005BC" w:rsidR="003E79A7" w:rsidRDefault="00301534" w:rsidP="00301534">
      <w:pPr>
        <w:pStyle w:val="Proposal"/>
        <w:rPr>
          <w:lang w:val="en-GB"/>
        </w:rPr>
      </w:pPr>
      <w:bookmarkStart w:id="1" w:name="_Toc118731079"/>
      <w:r>
        <w:rPr>
          <w:lang w:val="en-GB"/>
        </w:rPr>
        <w:t xml:space="preserve">ATG </w:t>
      </w:r>
      <w:r w:rsidR="000E0F1D">
        <w:rPr>
          <w:lang w:val="en-GB"/>
        </w:rPr>
        <w:t xml:space="preserve">RX </w:t>
      </w:r>
      <w:r>
        <w:rPr>
          <w:lang w:val="en-GB"/>
        </w:rPr>
        <w:t xml:space="preserve">UE requirements should be the minimum sufficient for proper network operation, even if these are more relaxed than TN UE requirements, </w:t>
      </w:r>
      <w:proofErr w:type="gramStart"/>
      <w:r>
        <w:rPr>
          <w:lang w:val="en-GB"/>
        </w:rPr>
        <w:t>in order to</w:t>
      </w:r>
      <w:proofErr w:type="gramEnd"/>
      <w:r>
        <w:rPr>
          <w:lang w:val="en-GB"/>
        </w:rPr>
        <w:t xml:space="preserve"> offer design flexibility for the avionics environment.</w:t>
      </w:r>
      <w:bookmarkEnd w:id="1"/>
    </w:p>
    <w:p w14:paraId="5131342B" w14:textId="5DE5A0D9" w:rsidR="00645F4B" w:rsidRDefault="00645F4B" w:rsidP="003B40DB">
      <w:pPr>
        <w:pStyle w:val="Doc-text2"/>
      </w:pPr>
    </w:p>
    <w:p w14:paraId="13DCD27B" w14:textId="38B8EB82" w:rsidR="009E4744" w:rsidRDefault="009E4744" w:rsidP="009E4744">
      <w:pPr>
        <w:pStyle w:val="Heading2"/>
      </w:pPr>
      <w:r>
        <w:t>2.</w:t>
      </w:r>
      <w:r w:rsidR="000E0F1D">
        <w:t>2</w:t>
      </w:r>
      <w:r>
        <w:t xml:space="preserve"> In-band blocking</w:t>
      </w:r>
    </w:p>
    <w:p w14:paraId="632D3A73" w14:textId="74F776F4" w:rsidR="009E4744" w:rsidRDefault="00401BFB" w:rsidP="009E4744">
      <w:pPr>
        <w:rPr>
          <w:lang w:val="en-GB" w:eastAsia="ja-JP"/>
        </w:rPr>
      </w:pPr>
      <w:r>
        <w:rPr>
          <w:lang w:val="en-GB" w:eastAsia="ja-JP"/>
        </w:rPr>
        <w:t xml:space="preserve">During RAN4#104bis-e, it was agreed that the in-band blocking requirement could assume the existing requirement as a baseline, but </w:t>
      </w:r>
      <w:r w:rsidR="009F236F">
        <w:rPr>
          <w:lang w:val="en-GB" w:eastAsia="ja-JP"/>
        </w:rPr>
        <w:t>further investigated</w:t>
      </w:r>
      <w:r w:rsidR="00D61318">
        <w:rPr>
          <w:lang w:val="en-GB" w:eastAsia="ja-JP"/>
        </w:rPr>
        <w:t>.</w:t>
      </w:r>
    </w:p>
    <w:p w14:paraId="35BD99C4" w14:textId="7FC5ECEF" w:rsidR="00C1503E" w:rsidRDefault="00D61318" w:rsidP="009E4744">
      <w:pPr>
        <w:rPr>
          <w:lang w:val="en-GB" w:eastAsia="ja-JP"/>
        </w:rPr>
      </w:pPr>
      <w:r>
        <w:rPr>
          <w:lang w:val="en-GB" w:eastAsia="ja-JP"/>
        </w:rPr>
        <w:t xml:space="preserve">In-band blocking for an ATG UE could occur due to the presence of neighbour operator </w:t>
      </w:r>
      <w:proofErr w:type="spellStart"/>
      <w:r>
        <w:rPr>
          <w:lang w:val="en-GB" w:eastAsia="ja-JP"/>
        </w:rPr>
        <w:t>gNB</w:t>
      </w:r>
      <w:proofErr w:type="spellEnd"/>
      <w:r>
        <w:rPr>
          <w:lang w:val="en-GB" w:eastAsia="ja-JP"/>
        </w:rPr>
        <w:t xml:space="preserve"> on the ground.</w:t>
      </w:r>
      <w:r w:rsidR="00C1503E">
        <w:rPr>
          <w:lang w:val="en-GB" w:eastAsia="ja-JP"/>
        </w:rPr>
        <w:t xml:space="preserve"> To further consider the likely IBB levels, we consider a scenario in which an aircraft is just 3km above the ground and passing over a TN BS. It should be noted that, due to the motion of the aircraft the blocking </w:t>
      </w:r>
      <w:r w:rsidR="00C1503E">
        <w:rPr>
          <w:lang w:val="en-GB" w:eastAsia="ja-JP"/>
        </w:rPr>
        <w:lastRenderedPageBreak/>
        <w:t xml:space="preserve">would be resolved by the aircraft moving away from the TN BS and that this distance assumption is very much worst case. We further assume that the TN BS antenna gain in the direction of the aircraft is 0dBi. Since the TN BS will have </w:t>
      </w:r>
      <w:proofErr w:type="spellStart"/>
      <w:r w:rsidR="00C1503E">
        <w:rPr>
          <w:lang w:val="en-GB" w:eastAsia="ja-JP"/>
        </w:rPr>
        <w:t>downtilt</w:t>
      </w:r>
      <w:proofErr w:type="spellEnd"/>
      <w:r w:rsidR="00D027FF">
        <w:rPr>
          <w:lang w:val="en-GB" w:eastAsia="ja-JP"/>
        </w:rPr>
        <w:t xml:space="preserve"> and be pointing it’s beam towards UEs on the ground, assuming 0dBi is pessimistically high. We also assume 0dBi antenna gain for the ATG UE; this is assuming that the ATG is either omni-direct</w:t>
      </w:r>
      <w:r w:rsidR="000D1FB0">
        <w:rPr>
          <w:lang w:val="en-GB" w:eastAsia="ja-JP"/>
        </w:rPr>
        <w:t>i</w:t>
      </w:r>
      <w:r w:rsidR="00D027FF">
        <w:rPr>
          <w:lang w:val="en-GB" w:eastAsia="ja-JP"/>
        </w:rPr>
        <w:t>onal, or has beamforming but is pointing it’s beam away from the TN BS.</w:t>
      </w:r>
    </w:p>
    <w:p w14:paraId="3C1AF441" w14:textId="273A5E16" w:rsidR="00D027FF" w:rsidRDefault="00D027FF" w:rsidP="009E4744">
      <w:pPr>
        <w:rPr>
          <w:lang w:val="en-GB" w:eastAsia="ja-JP"/>
        </w:rPr>
      </w:pPr>
      <w:r>
        <w:rPr>
          <w:lang w:val="en-GB" w:eastAsia="ja-JP"/>
        </w:rPr>
        <w:t xml:space="preserve">The FSPL pathloss for 3km is </w:t>
      </w:r>
      <w:r w:rsidR="00B95198">
        <w:rPr>
          <w:lang w:val="en-GB" w:eastAsia="ja-JP"/>
        </w:rPr>
        <w:t xml:space="preserve">108dB at 2GHz and </w:t>
      </w:r>
      <w:r w:rsidR="00397147">
        <w:rPr>
          <w:lang w:val="en-GB" w:eastAsia="ja-JP"/>
        </w:rPr>
        <w:t xml:space="preserve">114B at 4GHz. Assuming a 43dBm BS at 2GHz, this equates to </w:t>
      </w:r>
      <w:r w:rsidR="00BB2A00">
        <w:rPr>
          <w:lang w:val="en-GB" w:eastAsia="ja-JP"/>
        </w:rPr>
        <w:t xml:space="preserve">-65dBm RX power. For 4GHz, assuming 53dBm BS TRP, the blocking power is </w:t>
      </w:r>
      <w:r w:rsidR="00E40107">
        <w:rPr>
          <w:lang w:val="en-GB" w:eastAsia="ja-JP"/>
        </w:rPr>
        <w:t>-61dBm.</w:t>
      </w:r>
      <w:r w:rsidR="006D199D">
        <w:rPr>
          <w:lang w:val="en-GB" w:eastAsia="ja-JP"/>
        </w:rPr>
        <w:t xml:space="preserve"> </w:t>
      </w:r>
    </w:p>
    <w:p w14:paraId="05382B3E" w14:textId="728591C3" w:rsidR="006D199D" w:rsidRDefault="006D199D" w:rsidP="009E4744">
      <w:pPr>
        <w:rPr>
          <w:lang w:val="en-GB" w:eastAsia="ja-JP"/>
        </w:rPr>
      </w:pPr>
      <w:r>
        <w:rPr>
          <w:lang w:val="en-GB" w:eastAsia="ja-JP"/>
        </w:rPr>
        <w:t>The above estimations are based on very pessimistic corner case assumptions on aircraft height and antenna gains, and yet the blocking levels are 5-10dB lower than the -56dB</w:t>
      </w:r>
      <w:r w:rsidR="00507EF0">
        <w:rPr>
          <w:lang w:val="en-GB" w:eastAsia="ja-JP"/>
        </w:rPr>
        <w:t>m</w:t>
      </w:r>
      <w:r>
        <w:rPr>
          <w:lang w:val="en-GB" w:eastAsia="ja-JP"/>
        </w:rPr>
        <w:t xml:space="preserve"> requirement in the first adjacent channel and 15-20dB lower than the -44dB</w:t>
      </w:r>
      <w:r w:rsidR="00507EF0">
        <w:rPr>
          <w:lang w:val="en-GB" w:eastAsia="ja-JP"/>
        </w:rPr>
        <w:t>m requirement in the second adjacent channel. From these observations, it seems that there is scope to relax the in-band blocking requirements considerably.</w:t>
      </w:r>
    </w:p>
    <w:p w14:paraId="0935E299" w14:textId="027A4582" w:rsidR="00507EF0" w:rsidRDefault="0015599D" w:rsidP="009E4744">
      <w:pPr>
        <w:rPr>
          <w:lang w:val="en-GB" w:eastAsia="ja-JP"/>
        </w:rPr>
      </w:pPr>
      <w:r>
        <w:rPr>
          <w:lang w:val="en-GB" w:eastAsia="ja-JP"/>
        </w:rPr>
        <w:t xml:space="preserve">As discussed in section 2.1, </w:t>
      </w:r>
      <w:r w:rsidR="00CE5616">
        <w:rPr>
          <w:lang w:val="en-GB" w:eastAsia="ja-JP"/>
        </w:rPr>
        <w:t xml:space="preserve">since the constraints on ATG UEs are not fully known, it is useful to set the requirements to the minimum required from a mobile communications point of view. Since it appears that the in-band blocking requirements may be able to be relaxed compared to TN UEs, further </w:t>
      </w:r>
      <w:r w:rsidR="002748D7">
        <w:rPr>
          <w:lang w:val="en-GB" w:eastAsia="ja-JP"/>
        </w:rPr>
        <w:t>investigation should be performed.</w:t>
      </w:r>
    </w:p>
    <w:p w14:paraId="27C930A5" w14:textId="0D38B3CD" w:rsidR="002748D7" w:rsidRPr="009E4744" w:rsidRDefault="002748D7" w:rsidP="002748D7">
      <w:pPr>
        <w:pStyle w:val="Proposal"/>
        <w:rPr>
          <w:lang w:val="en-GB"/>
        </w:rPr>
      </w:pPr>
      <w:bookmarkStart w:id="2" w:name="_Toc118731080"/>
      <w:r>
        <w:rPr>
          <w:lang w:val="en-GB"/>
        </w:rPr>
        <w:t>RAN4 to investigate relaxation of IBB requirements from the baseline of the TN specs</w:t>
      </w:r>
      <w:r w:rsidR="007511C4">
        <w:rPr>
          <w:lang w:val="en-GB"/>
        </w:rPr>
        <w:t xml:space="preserve"> to potentially around -65dBm.</w:t>
      </w:r>
      <w:bookmarkEnd w:id="2"/>
    </w:p>
    <w:p w14:paraId="7365367C" w14:textId="36B04E90" w:rsidR="001C014B" w:rsidRDefault="001C014B" w:rsidP="001C014B">
      <w:pPr>
        <w:pStyle w:val="Heading2"/>
      </w:pPr>
      <w:r>
        <w:t>2.</w:t>
      </w:r>
      <w:r w:rsidR="00432832">
        <w:t>3</w:t>
      </w:r>
      <w:r>
        <w:t xml:space="preserve"> Maximum input level</w:t>
      </w:r>
    </w:p>
    <w:p w14:paraId="4D588BC8" w14:textId="1A44D36B" w:rsidR="00B34BBC" w:rsidRDefault="00B15AB1" w:rsidP="003B40DB">
      <w:pPr>
        <w:pStyle w:val="Doc-text2"/>
      </w:pPr>
      <w:proofErr w:type="gramStart"/>
      <w:r>
        <w:t>In order to</w:t>
      </w:r>
      <w:proofErr w:type="gramEnd"/>
      <w:r>
        <w:t xml:space="preserve"> estimate the maximum input level, we consider </w:t>
      </w:r>
      <w:r w:rsidR="001E5432">
        <w:t>a scenario in which the link budget is designed to achieve 20dB SNR at the UE at a maximum distance of 200km. The minimum distance from an ATG BS serving an aircraft to the aircraft itself is assumed to be 50km</w:t>
      </w:r>
      <w:r w:rsidR="00F62BE0">
        <w:t>. When an aircraft is 50km from the ATG BS, then maximum input level will occur.</w:t>
      </w:r>
    </w:p>
    <w:p w14:paraId="5D6F7B79" w14:textId="1E165112" w:rsidR="00F62BE0" w:rsidRDefault="00F62BE0" w:rsidP="003B40DB">
      <w:pPr>
        <w:pStyle w:val="Doc-text2"/>
      </w:pPr>
      <w:r>
        <w:t xml:space="preserve">For 2GHz, a 20MHz bandwidth is assumed. </w:t>
      </w:r>
      <w:r w:rsidR="001A3905">
        <w:t xml:space="preserve">For 20dB SNR, the RX power level at the UE needs to be around </w:t>
      </w:r>
      <w:r w:rsidR="00501485">
        <w:t xml:space="preserve">-72dBm. The pathloss at 200km is </w:t>
      </w:r>
      <w:r w:rsidR="001371FE">
        <w:t xml:space="preserve">144dB and at 50km </w:t>
      </w:r>
      <w:proofErr w:type="gramStart"/>
      <w:r w:rsidR="001371FE">
        <w:t>132dB;</w:t>
      </w:r>
      <w:proofErr w:type="gramEnd"/>
      <w:r w:rsidR="001371FE">
        <w:t xml:space="preserve"> i.e. the pathloss decreases by 12dB from </w:t>
      </w:r>
      <w:r w:rsidR="007D3A1A">
        <w:t>200km to 50km. Assuming that the ATG BS transmits with the same power and that the beam gain on both UE and BS side are the same for the 50km and 200km distances, then the RX power at the UE will increase from -72dBm to -60dBm. Thus, -60dBm is an estimate for the maximum input level</w:t>
      </w:r>
      <w:r w:rsidR="008A60A8">
        <w:t>, since it can be assumed that there will not be other nearby ATG BS that also point their beams at the UE.</w:t>
      </w:r>
    </w:p>
    <w:p w14:paraId="658277F8" w14:textId="265DAEAC" w:rsidR="007D3A1A" w:rsidRDefault="007D3A1A" w:rsidP="003B40DB">
      <w:pPr>
        <w:pStyle w:val="Doc-text2"/>
      </w:pPr>
      <w:r>
        <w:t xml:space="preserve">For 4GHz, a 100MHz channel bandwidth is assumed. For 20dB SNR, the RX power level at the UE needs to be around </w:t>
      </w:r>
      <w:r w:rsidR="003A35D5">
        <w:t xml:space="preserve">-65dBm. The pathloss at 200km is 150dB and at 50km 138dB; </w:t>
      </w:r>
      <w:proofErr w:type="gramStart"/>
      <w:r w:rsidR="003A35D5">
        <w:t>thus</w:t>
      </w:r>
      <w:proofErr w:type="gramEnd"/>
      <w:r w:rsidR="003A35D5">
        <w:t xml:space="preserve"> there is a 12dB difference between 200km and 50km. Assuming that the ATG BS transmits with the same power and that the beam gain on both UE and BS side are the same for the 50km and 200km distances, then the RX power at the UE will increase from</w:t>
      </w:r>
      <w:r w:rsidR="00900DE9">
        <w:t xml:space="preserve"> -65dBm to -53dBm.</w:t>
      </w:r>
    </w:p>
    <w:p w14:paraId="7302C251" w14:textId="1896519D" w:rsidR="00900DE9" w:rsidRDefault="00900DE9" w:rsidP="003B40DB">
      <w:pPr>
        <w:pStyle w:val="Doc-text2"/>
      </w:pPr>
      <w:r>
        <w:t xml:space="preserve">The assumption of 20dB target SNR at 200km is rather aggressive, </w:t>
      </w:r>
      <w:proofErr w:type="gramStart"/>
      <w:r>
        <w:t xml:space="preserve">and in </w:t>
      </w:r>
      <w:r w:rsidR="008669DA">
        <w:t>reality,</w:t>
      </w:r>
      <w:r>
        <w:t xml:space="preserve"> the</w:t>
      </w:r>
      <w:proofErr w:type="gramEnd"/>
      <w:r>
        <w:t xml:space="preserve"> link budget and RX power may be lower. Even with this example, however, it is obvious that the maximum </w:t>
      </w:r>
      <w:r w:rsidR="007511C4">
        <w:t>input level can be considerably lower than -25dBm.</w:t>
      </w:r>
    </w:p>
    <w:p w14:paraId="5B4F9825" w14:textId="190A0C6A" w:rsidR="007511C4" w:rsidRDefault="007511C4" w:rsidP="007511C4">
      <w:pPr>
        <w:rPr>
          <w:lang w:val="en-GB" w:eastAsia="ja-JP"/>
        </w:rPr>
      </w:pPr>
      <w:r>
        <w:rPr>
          <w:lang w:val="en-GB" w:eastAsia="ja-JP"/>
        </w:rPr>
        <w:t xml:space="preserve">As discussed in section 2.1, since the constraints on ATG UEs are not fully known, it is useful to set the requirements to the minimum required from a mobile communications point of view. Since it appears that the </w:t>
      </w:r>
      <w:r w:rsidR="001F5CD9">
        <w:rPr>
          <w:lang w:val="en-GB" w:eastAsia="ja-JP"/>
        </w:rPr>
        <w:t xml:space="preserve">maximum input level </w:t>
      </w:r>
      <w:r>
        <w:rPr>
          <w:lang w:val="en-GB" w:eastAsia="ja-JP"/>
        </w:rPr>
        <w:t>requirement may be able to be relaxed compared to TN UEs, further investigation should be performed.</w:t>
      </w:r>
    </w:p>
    <w:p w14:paraId="178CBC9A" w14:textId="66BECB4C" w:rsidR="007511C4" w:rsidRPr="009E4744" w:rsidRDefault="007511C4" w:rsidP="007511C4">
      <w:pPr>
        <w:pStyle w:val="Proposal"/>
        <w:rPr>
          <w:lang w:val="en-GB"/>
        </w:rPr>
      </w:pPr>
      <w:bookmarkStart w:id="3" w:name="_Toc118731081"/>
      <w:r>
        <w:rPr>
          <w:lang w:val="en-GB"/>
        </w:rPr>
        <w:t xml:space="preserve">RAN4 to investigate relaxation of </w:t>
      </w:r>
      <w:r w:rsidR="001F5CD9">
        <w:rPr>
          <w:lang w:val="en-GB"/>
        </w:rPr>
        <w:t>the maximum input level requirement, potentially to around -50dBm.</w:t>
      </w:r>
      <w:bookmarkEnd w:id="3"/>
    </w:p>
    <w:p w14:paraId="0E0E729D" w14:textId="77777777" w:rsidR="007511C4" w:rsidRDefault="007511C4" w:rsidP="003B40DB">
      <w:pPr>
        <w:pStyle w:val="Doc-text2"/>
      </w:pPr>
    </w:p>
    <w:p w14:paraId="3879E8F8" w14:textId="77777777" w:rsidR="00C473A5" w:rsidRDefault="00C473A5" w:rsidP="00CE0424">
      <w:pPr>
        <w:pStyle w:val="Heading1"/>
        <w:sectPr w:rsidR="00C473A5" w:rsidSect="00611C3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82A414" w14:textId="51AD3509" w:rsidR="0036684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731079" w:history="1">
        <w:r w:rsidR="0036684E" w:rsidRPr="00CA3B30">
          <w:rPr>
            <w:rStyle w:val="Hyperlink"/>
            <w:noProof/>
            <w:lang w:val="en-GB"/>
          </w:rPr>
          <w:t>Proposal 1</w:t>
        </w:r>
        <w:r w:rsidR="0036684E">
          <w:rPr>
            <w:rFonts w:asciiTheme="minorHAnsi" w:eastAsiaTheme="minorEastAsia" w:hAnsiTheme="minorHAnsi"/>
            <w:b w:val="0"/>
            <w:noProof/>
            <w:sz w:val="22"/>
            <w:lang w:val="en-SE" w:eastAsia="en-SE"/>
          </w:rPr>
          <w:tab/>
        </w:r>
        <w:r w:rsidR="0036684E" w:rsidRPr="00CA3B30">
          <w:rPr>
            <w:rStyle w:val="Hyperlink"/>
            <w:noProof/>
            <w:lang w:val="en-GB"/>
          </w:rPr>
          <w:t>ATG RX UE requirements should be the minimum sufficient for proper network operation, even if these are more relaxed than TN UE requirements, in order to offer design flexibility for the avionics environment.</w:t>
        </w:r>
      </w:hyperlink>
    </w:p>
    <w:p w14:paraId="5CDD4EE8" w14:textId="177521A4" w:rsidR="0036684E" w:rsidRDefault="0036684E">
      <w:pPr>
        <w:pStyle w:val="TableofFigures"/>
        <w:tabs>
          <w:tab w:val="right" w:leader="dot" w:pos="9629"/>
        </w:tabs>
        <w:rPr>
          <w:rFonts w:asciiTheme="minorHAnsi" w:eastAsiaTheme="minorEastAsia" w:hAnsiTheme="minorHAnsi"/>
          <w:b w:val="0"/>
          <w:noProof/>
          <w:sz w:val="22"/>
          <w:lang w:val="en-SE" w:eastAsia="en-SE"/>
        </w:rPr>
      </w:pPr>
      <w:hyperlink w:anchor="_Toc118731080" w:history="1">
        <w:r w:rsidRPr="00CA3B30">
          <w:rPr>
            <w:rStyle w:val="Hyperlink"/>
            <w:noProof/>
            <w:lang w:val="en-GB"/>
          </w:rPr>
          <w:t>Proposal 2</w:t>
        </w:r>
        <w:r>
          <w:rPr>
            <w:rFonts w:asciiTheme="minorHAnsi" w:eastAsiaTheme="minorEastAsia" w:hAnsiTheme="minorHAnsi"/>
            <w:b w:val="0"/>
            <w:noProof/>
            <w:sz w:val="22"/>
            <w:lang w:val="en-SE" w:eastAsia="en-SE"/>
          </w:rPr>
          <w:tab/>
        </w:r>
        <w:r w:rsidRPr="00CA3B30">
          <w:rPr>
            <w:rStyle w:val="Hyperlink"/>
            <w:noProof/>
            <w:lang w:val="en-GB"/>
          </w:rPr>
          <w:t>RAN4 to investigate relaxation of IBB requirements from the baseline of the TN specs to potentially around -65dBm.</w:t>
        </w:r>
      </w:hyperlink>
    </w:p>
    <w:p w14:paraId="31290A9A" w14:textId="028629A0" w:rsidR="0036684E" w:rsidRDefault="0036684E">
      <w:pPr>
        <w:pStyle w:val="TableofFigures"/>
        <w:tabs>
          <w:tab w:val="right" w:leader="dot" w:pos="9629"/>
        </w:tabs>
        <w:rPr>
          <w:rFonts w:asciiTheme="minorHAnsi" w:eastAsiaTheme="minorEastAsia" w:hAnsiTheme="minorHAnsi"/>
          <w:b w:val="0"/>
          <w:noProof/>
          <w:sz w:val="22"/>
          <w:lang w:val="en-SE" w:eastAsia="en-SE"/>
        </w:rPr>
      </w:pPr>
      <w:hyperlink w:anchor="_Toc118731081" w:history="1">
        <w:r w:rsidRPr="00CA3B30">
          <w:rPr>
            <w:rStyle w:val="Hyperlink"/>
            <w:noProof/>
            <w:lang w:val="en-GB"/>
          </w:rPr>
          <w:t>Proposal 3</w:t>
        </w:r>
        <w:r>
          <w:rPr>
            <w:rFonts w:asciiTheme="minorHAnsi" w:eastAsiaTheme="minorEastAsia" w:hAnsiTheme="minorHAnsi"/>
            <w:b w:val="0"/>
            <w:noProof/>
            <w:sz w:val="22"/>
            <w:lang w:val="en-SE" w:eastAsia="en-SE"/>
          </w:rPr>
          <w:tab/>
        </w:r>
        <w:r w:rsidRPr="00CA3B30">
          <w:rPr>
            <w:rStyle w:val="Hyperlink"/>
            <w:noProof/>
            <w:lang w:val="en-GB"/>
          </w:rPr>
          <w:t>RAN4 to investigate relaxation of the maximum input level requirement, potentially to around -50dBm.</w:t>
        </w:r>
      </w:hyperlink>
    </w:p>
    <w:p w14:paraId="747C743C" w14:textId="0E887424"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61AE" w14:textId="77777777" w:rsidR="003918F9" w:rsidRDefault="003918F9">
      <w:r>
        <w:separator/>
      </w:r>
    </w:p>
  </w:endnote>
  <w:endnote w:type="continuationSeparator" w:id="0">
    <w:p w14:paraId="00B9B9AB" w14:textId="77777777" w:rsidR="003918F9" w:rsidRDefault="003918F9">
      <w:r>
        <w:continuationSeparator/>
      </w:r>
    </w:p>
  </w:endnote>
  <w:endnote w:type="continuationNotice" w:id="1">
    <w:p w14:paraId="5EC087A4" w14:textId="77777777" w:rsidR="003918F9" w:rsidRDefault="003918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BB56C" w14:textId="77777777" w:rsidR="003918F9" w:rsidRDefault="003918F9">
      <w:r>
        <w:separator/>
      </w:r>
    </w:p>
  </w:footnote>
  <w:footnote w:type="continuationSeparator" w:id="0">
    <w:p w14:paraId="087048C1" w14:textId="77777777" w:rsidR="003918F9" w:rsidRDefault="003918F9">
      <w:r>
        <w:continuationSeparator/>
      </w:r>
    </w:p>
  </w:footnote>
  <w:footnote w:type="continuationNotice" w:id="1">
    <w:p w14:paraId="6582CE23" w14:textId="77777777" w:rsidR="003918F9" w:rsidRDefault="003918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F5E"/>
    <w:rsid w:val="0005606A"/>
    <w:rsid w:val="00057117"/>
    <w:rsid w:val="000616E7"/>
    <w:rsid w:val="0006487E"/>
    <w:rsid w:val="00065E1A"/>
    <w:rsid w:val="00067320"/>
    <w:rsid w:val="0007181C"/>
    <w:rsid w:val="00077E5F"/>
    <w:rsid w:val="0008036A"/>
    <w:rsid w:val="00081AE6"/>
    <w:rsid w:val="000855EB"/>
    <w:rsid w:val="00085B52"/>
    <w:rsid w:val="000866F2"/>
    <w:rsid w:val="0009009F"/>
    <w:rsid w:val="00091557"/>
    <w:rsid w:val="000924C1"/>
    <w:rsid w:val="000924F0"/>
    <w:rsid w:val="00093474"/>
    <w:rsid w:val="0009510F"/>
    <w:rsid w:val="000A1B7B"/>
    <w:rsid w:val="000A1D05"/>
    <w:rsid w:val="000A56F2"/>
    <w:rsid w:val="000B2719"/>
    <w:rsid w:val="000B3A8F"/>
    <w:rsid w:val="000B4AB9"/>
    <w:rsid w:val="000B58C3"/>
    <w:rsid w:val="000B61E9"/>
    <w:rsid w:val="000C165A"/>
    <w:rsid w:val="000C2E19"/>
    <w:rsid w:val="000D0D07"/>
    <w:rsid w:val="000D1FB0"/>
    <w:rsid w:val="000D4797"/>
    <w:rsid w:val="000E0527"/>
    <w:rsid w:val="000E0F1D"/>
    <w:rsid w:val="000E1E92"/>
    <w:rsid w:val="000F06D6"/>
    <w:rsid w:val="000F0EB1"/>
    <w:rsid w:val="000F1106"/>
    <w:rsid w:val="000F3BE9"/>
    <w:rsid w:val="000F3F6C"/>
    <w:rsid w:val="000F6DF3"/>
    <w:rsid w:val="001005FF"/>
    <w:rsid w:val="0010559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1FE"/>
    <w:rsid w:val="00137AB5"/>
    <w:rsid w:val="00137F0B"/>
    <w:rsid w:val="00151E23"/>
    <w:rsid w:val="001526E0"/>
    <w:rsid w:val="001551B5"/>
    <w:rsid w:val="0015599D"/>
    <w:rsid w:val="00156825"/>
    <w:rsid w:val="0016467B"/>
    <w:rsid w:val="001659C1"/>
    <w:rsid w:val="00173A8E"/>
    <w:rsid w:val="0017502C"/>
    <w:rsid w:val="0018143F"/>
    <w:rsid w:val="00181FF8"/>
    <w:rsid w:val="00190AC1"/>
    <w:rsid w:val="0019341A"/>
    <w:rsid w:val="00197DF9"/>
    <w:rsid w:val="001A1987"/>
    <w:rsid w:val="001A2564"/>
    <w:rsid w:val="001A3905"/>
    <w:rsid w:val="001A6173"/>
    <w:rsid w:val="001A6CBA"/>
    <w:rsid w:val="001B0D97"/>
    <w:rsid w:val="001B5A5D"/>
    <w:rsid w:val="001C014B"/>
    <w:rsid w:val="001C1A4A"/>
    <w:rsid w:val="001C1CE5"/>
    <w:rsid w:val="001C3D2A"/>
    <w:rsid w:val="001D51BA"/>
    <w:rsid w:val="001D53E7"/>
    <w:rsid w:val="001D6342"/>
    <w:rsid w:val="001D6D53"/>
    <w:rsid w:val="001E5432"/>
    <w:rsid w:val="001E58E2"/>
    <w:rsid w:val="001E7AED"/>
    <w:rsid w:val="001F3916"/>
    <w:rsid w:val="001F54C5"/>
    <w:rsid w:val="001F5CD9"/>
    <w:rsid w:val="001F662C"/>
    <w:rsid w:val="001F7074"/>
    <w:rsid w:val="00200490"/>
    <w:rsid w:val="00201F3A"/>
    <w:rsid w:val="00203F96"/>
    <w:rsid w:val="002069B2"/>
    <w:rsid w:val="00207FA3"/>
    <w:rsid w:val="0021036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8D7"/>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A15"/>
    <w:rsid w:val="002C41E6"/>
    <w:rsid w:val="002D071A"/>
    <w:rsid w:val="002D34B2"/>
    <w:rsid w:val="002D48B0"/>
    <w:rsid w:val="002D5B37"/>
    <w:rsid w:val="002D639E"/>
    <w:rsid w:val="002D7637"/>
    <w:rsid w:val="002E17F2"/>
    <w:rsid w:val="002E7CAE"/>
    <w:rsid w:val="002F13E4"/>
    <w:rsid w:val="002F2771"/>
    <w:rsid w:val="002F37A9"/>
    <w:rsid w:val="0030153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84E"/>
    <w:rsid w:val="00370E47"/>
    <w:rsid w:val="003742AC"/>
    <w:rsid w:val="00377CE1"/>
    <w:rsid w:val="00381C4D"/>
    <w:rsid w:val="00385BF0"/>
    <w:rsid w:val="003918F9"/>
    <w:rsid w:val="003939FF"/>
    <w:rsid w:val="00397147"/>
    <w:rsid w:val="003A2223"/>
    <w:rsid w:val="003A2A0F"/>
    <w:rsid w:val="003A35D5"/>
    <w:rsid w:val="003A45A1"/>
    <w:rsid w:val="003A5B0A"/>
    <w:rsid w:val="003A6BAC"/>
    <w:rsid w:val="003A70A4"/>
    <w:rsid w:val="003A7EF3"/>
    <w:rsid w:val="003B159C"/>
    <w:rsid w:val="003B369F"/>
    <w:rsid w:val="003B36A3"/>
    <w:rsid w:val="003B40DB"/>
    <w:rsid w:val="003B64BB"/>
    <w:rsid w:val="003B7FE5"/>
    <w:rsid w:val="003C11C8"/>
    <w:rsid w:val="003C2702"/>
    <w:rsid w:val="003C7806"/>
    <w:rsid w:val="003D109F"/>
    <w:rsid w:val="003D2478"/>
    <w:rsid w:val="003D3C45"/>
    <w:rsid w:val="003D5B1F"/>
    <w:rsid w:val="003E15FA"/>
    <w:rsid w:val="003E55E4"/>
    <w:rsid w:val="003E74E3"/>
    <w:rsid w:val="003E79A7"/>
    <w:rsid w:val="003F05C7"/>
    <w:rsid w:val="003F2CD4"/>
    <w:rsid w:val="003F4062"/>
    <w:rsid w:val="003F6BBE"/>
    <w:rsid w:val="004000E8"/>
    <w:rsid w:val="00401BFB"/>
    <w:rsid w:val="00402E2B"/>
    <w:rsid w:val="0040512B"/>
    <w:rsid w:val="00405CA5"/>
    <w:rsid w:val="00407CD3"/>
    <w:rsid w:val="00410134"/>
    <w:rsid w:val="00410B72"/>
    <w:rsid w:val="00410F18"/>
    <w:rsid w:val="0041263E"/>
    <w:rsid w:val="00413AAC"/>
    <w:rsid w:val="00413E92"/>
    <w:rsid w:val="00421105"/>
    <w:rsid w:val="00422AA4"/>
    <w:rsid w:val="004242F4"/>
    <w:rsid w:val="00425395"/>
    <w:rsid w:val="00427248"/>
    <w:rsid w:val="004321D4"/>
    <w:rsid w:val="00432832"/>
    <w:rsid w:val="00437447"/>
    <w:rsid w:val="00441096"/>
    <w:rsid w:val="00441A92"/>
    <w:rsid w:val="004431DC"/>
    <w:rsid w:val="00444F56"/>
    <w:rsid w:val="00446488"/>
    <w:rsid w:val="004517AA"/>
    <w:rsid w:val="00452CAC"/>
    <w:rsid w:val="00457565"/>
    <w:rsid w:val="00457B71"/>
    <w:rsid w:val="00464689"/>
    <w:rsid w:val="004669E2"/>
    <w:rsid w:val="00470C31"/>
    <w:rsid w:val="00471DE0"/>
    <w:rsid w:val="00472129"/>
    <w:rsid w:val="004734D0"/>
    <w:rsid w:val="0047556B"/>
    <w:rsid w:val="00477768"/>
    <w:rsid w:val="00492BC5"/>
    <w:rsid w:val="004964F1"/>
    <w:rsid w:val="004A16BC"/>
    <w:rsid w:val="004A2934"/>
    <w:rsid w:val="004A2B94"/>
    <w:rsid w:val="004B6F6A"/>
    <w:rsid w:val="004B7C0C"/>
    <w:rsid w:val="004C3898"/>
    <w:rsid w:val="004D36B1"/>
    <w:rsid w:val="004D7EBD"/>
    <w:rsid w:val="004E06B9"/>
    <w:rsid w:val="004E2680"/>
    <w:rsid w:val="004E28F9"/>
    <w:rsid w:val="004E462E"/>
    <w:rsid w:val="004E56DC"/>
    <w:rsid w:val="004E76F4"/>
    <w:rsid w:val="004F0B4E"/>
    <w:rsid w:val="004F0B6C"/>
    <w:rsid w:val="004F2078"/>
    <w:rsid w:val="004F4DA3"/>
    <w:rsid w:val="00501485"/>
    <w:rsid w:val="00506557"/>
    <w:rsid w:val="0050677A"/>
    <w:rsid w:val="00507EF0"/>
    <w:rsid w:val="005108D8"/>
    <w:rsid w:val="005116F9"/>
    <w:rsid w:val="005153A7"/>
    <w:rsid w:val="005219CF"/>
    <w:rsid w:val="00534B59"/>
    <w:rsid w:val="00536759"/>
    <w:rsid w:val="00537C62"/>
    <w:rsid w:val="00546970"/>
    <w:rsid w:val="00554E19"/>
    <w:rsid w:val="0056121F"/>
    <w:rsid w:val="00561B82"/>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DB5"/>
    <w:rsid w:val="005F618C"/>
    <w:rsid w:val="005F70BD"/>
    <w:rsid w:val="0060283C"/>
    <w:rsid w:val="00604F14"/>
    <w:rsid w:val="00611B83"/>
    <w:rsid w:val="00611C3B"/>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F4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99D"/>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74A"/>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1C4"/>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A1A"/>
    <w:rsid w:val="007D5901"/>
    <w:rsid w:val="007D7526"/>
    <w:rsid w:val="007E2EF4"/>
    <w:rsid w:val="007E4610"/>
    <w:rsid w:val="007E4715"/>
    <w:rsid w:val="007E505B"/>
    <w:rsid w:val="007E6E7E"/>
    <w:rsid w:val="007E7091"/>
    <w:rsid w:val="00803FAE"/>
    <w:rsid w:val="0080605F"/>
    <w:rsid w:val="00807786"/>
    <w:rsid w:val="00811FCB"/>
    <w:rsid w:val="008158D6"/>
    <w:rsid w:val="00817196"/>
    <w:rsid w:val="008235DB"/>
    <w:rsid w:val="00824AB4"/>
    <w:rsid w:val="00825C42"/>
    <w:rsid w:val="00825D25"/>
    <w:rsid w:val="00827D6F"/>
    <w:rsid w:val="008376AC"/>
    <w:rsid w:val="00841C25"/>
    <w:rsid w:val="008444E8"/>
    <w:rsid w:val="00844E80"/>
    <w:rsid w:val="00846FE7"/>
    <w:rsid w:val="00856911"/>
    <w:rsid w:val="00864CB8"/>
    <w:rsid w:val="008669DA"/>
    <w:rsid w:val="008677FD"/>
    <w:rsid w:val="008706D4"/>
    <w:rsid w:val="00870F8A"/>
    <w:rsid w:val="008719A4"/>
    <w:rsid w:val="00871D23"/>
    <w:rsid w:val="00874312"/>
    <w:rsid w:val="0087437C"/>
    <w:rsid w:val="00875CD7"/>
    <w:rsid w:val="00876B4D"/>
    <w:rsid w:val="00877F18"/>
    <w:rsid w:val="00881817"/>
    <w:rsid w:val="008941E3"/>
    <w:rsid w:val="00894A88"/>
    <w:rsid w:val="00895386"/>
    <w:rsid w:val="008A21FF"/>
    <w:rsid w:val="008A2CE2"/>
    <w:rsid w:val="008A30AC"/>
    <w:rsid w:val="008A44B8"/>
    <w:rsid w:val="008A51A8"/>
    <w:rsid w:val="008A54C7"/>
    <w:rsid w:val="008A60A8"/>
    <w:rsid w:val="008A77D8"/>
    <w:rsid w:val="008B0483"/>
    <w:rsid w:val="008B120C"/>
    <w:rsid w:val="008B51A0"/>
    <w:rsid w:val="008B592A"/>
    <w:rsid w:val="008B7B5C"/>
    <w:rsid w:val="008C0C99"/>
    <w:rsid w:val="008C2017"/>
    <w:rsid w:val="008C4958"/>
    <w:rsid w:val="008C4BAA"/>
    <w:rsid w:val="008C6AE8"/>
    <w:rsid w:val="008C7573"/>
    <w:rsid w:val="008C7E7B"/>
    <w:rsid w:val="008D00A5"/>
    <w:rsid w:val="008D34F1"/>
    <w:rsid w:val="008D39D8"/>
    <w:rsid w:val="008D6D1A"/>
    <w:rsid w:val="008E065E"/>
    <w:rsid w:val="008E0927"/>
    <w:rsid w:val="008E1909"/>
    <w:rsid w:val="008F1C4E"/>
    <w:rsid w:val="008F1EAB"/>
    <w:rsid w:val="008F33DC"/>
    <w:rsid w:val="008F477F"/>
    <w:rsid w:val="00900DE9"/>
    <w:rsid w:val="00902350"/>
    <w:rsid w:val="0090336B"/>
    <w:rsid w:val="009053AA"/>
    <w:rsid w:val="00906939"/>
    <w:rsid w:val="0090748C"/>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82A"/>
    <w:rsid w:val="0096430A"/>
    <w:rsid w:val="0096554B"/>
    <w:rsid w:val="0096584A"/>
    <w:rsid w:val="00971F08"/>
    <w:rsid w:val="0097414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44"/>
    <w:rsid w:val="009E47A3"/>
    <w:rsid w:val="009F08F3"/>
    <w:rsid w:val="009F236F"/>
    <w:rsid w:val="009F344F"/>
    <w:rsid w:val="009F5CC3"/>
    <w:rsid w:val="00A031D8"/>
    <w:rsid w:val="00A048A8"/>
    <w:rsid w:val="00A04F49"/>
    <w:rsid w:val="00A13E54"/>
    <w:rsid w:val="00A17F63"/>
    <w:rsid w:val="00A2108B"/>
    <w:rsid w:val="00A2193B"/>
    <w:rsid w:val="00A2351A"/>
    <w:rsid w:val="00A264A9"/>
    <w:rsid w:val="00A26DCF"/>
    <w:rsid w:val="00A27785"/>
    <w:rsid w:val="00A30187"/>
    <w:rsid w:val="00A3448A"/>
    <w:rsid w:val="00A36297"/>
    <w:rsid w:val="00A41E2B"/>
    <w:rsid w:val="00A45B74"/>
    <w:rsid w:val="00A4732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AB1"/>
    <w:rsid w:val="00B20256"/>
    <w:rsid w:val="00B20D09"/>
    <w:rsid w:val="00B2757F"/>
    <w:rsid w:val="00B2763F"/>
    <w:rsid w:val="00B277C7"/>
    <w:rsid w:val="00B27AAC"/>
    <w:rsid w:val="00B30929"/>
    <w:rsid w:val="00B34BBC"/>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95198"/>
    <w:rsid w:val="00BA2280"/>
    <w:rsid w:val="00BA2A08"/>
    <w:rsid w:val="00BA56D2"/>
    <w:rsid w:val="00BA76E0"/>
    <w:rsid w:val="00BB2A0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03E"/>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55D"/>
    <w:rsid w:val="00CA1ED8"/>
    <w:rsid w:val="00CB1F63"/>
    <w:rsid w:val="00CB7170"/>
    <w:rsid w:val="00CC040E"/>
    <w:rsid w:val="00CC111F"/>
    <w:rsid w:val="00CC2011"/>
    <w:rsid w:val="00CC3EA0"/>
    <w:rsid w:val="00CC7B45"/>
    <w:rsid w:val="00CD1188"/>
    <w:rsid w:val="00CD2ED1"/>
    <w:rsid w:val="00CD337B"/>
    <w:rsid w:val="00CE0424"/>
    <w:rsid w:val="00CE5616"/>
    <w:rsid w:val="00CE7561"/>
    <w:rsid w:val="00CF1354"/>
    <w:rsid w:val="00CF3B1F"/>
    <w:rsid w:val="00CF3BF6"/>
    <w:rsid w:val="00CF625B"/>
    <w:rsid w:val="00CF687E"/>
    <w:rsid w:val="00D027FF"/>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A0B"/>
    <w:rsid w:val="00D546FF"/>
    <w:rsid w:val="00D55AD5"/>
    <w:rsid w:val="00D576CA"/>
    <w:rsid w:val="00D61318"/>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7FA"/>
    <w:rsid w:val="00DB377D"/>
    <w:rsid w:val="00DC2D36"/>
    <w:rsid w:val="00DC53EF"/>
    <w:rsid w:val="00DD109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0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4CE9"/>
    <w:rsid w:val="00EF5787"/>
    <w:rsid w:val="00EF60D0"/>
    <w:rsid w:val="00F0528D"/>
    <w:rsid w:val="00F06C67"/>
    <w:rsid w:val="00F06DFD"/>
    <w:rsid w:val="00F071D1"/>
    <w:rsid w:val="00F07533"/>
    <w:rsid w:val="00F10629"/>
    <w:rsid w:val="00F15FA5"/>
    <w:rsid w:val="00F17293"/>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2BE0"/>
    <w:rsid w:val="00F6302A"/>
    <w:rsid w:val="00F63950"/>
    <w:rsid w:val="00F64C2B"/>
    <w:rsid w:val="00F651BE"/>
    <w:rsid w:val="00F67F53"/>
    <w:rsid w:val="00F703BE"/>
    <w:rsid w:val="00F71F69"/>
    <w:rsid w:val="00F72B72"/>
    <w:rsid w:val="00F74BB9"/>
    <w:rsid w:val="00F75582"/>
    <w:rsid w:val="00F76EFA"/>
    <w:rsid w:val="00F804BE"/>
    <w:rsid w:val="00F817CE"/>
    <w:rsid w:val="00F82115"/>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B40DB"/>
    <w:pPr>
      <w:tabs>
        <w:tab w:val="left" w:pos="1622"/>
      </w:tabs>
      <w:spacing w:after="240"/>
    </w:pPr>
    <w:rPr>
      <w:rFonts w:eastAsia="MS Mincho"/>
      <w:szCs w:val="24"/>
      <w:lang w:eastAsia="x-none"/>
    </w:rPr>
  </w:style>
  <w:style w:type="character" w:customStyle="1" w:styleId="Doc-text2Char">
    <w:name w:val="Doc-text2 Char"/>
    <w:link w:val="Doc-text2"/>
    <w:locked/>
    <w:rsid w:val="003B40DB"/>
    <w:rPr>
      <w:rFonts w:ascii="Arial" w:eastAsia="MS Mincho" w:hAnsi="Arial" w:cstheme="minorBidi"/>
      <w:szCs w:val="24"/>
      <w:lang w:val="en-US"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01514F-75D8-49A9-9A93-BBB3D8955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3</Pages>
  <Words>1109</Words>
  <Characters>5465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86</cp:revision>
  <cp:lastPrinted>2008-01-31T16:09:00Z</cp:lastPrinted>
  <dcterms:created xsi:type="dcterms:W3CDTF">2020-08-14T06:21:00Z</dcterms:created>
  <dcterms:modified xsi:type="dcterms:W3CDTF">2022-11-07T15:31:00Z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